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D0" w:rsidRDefault="006F5A70" w:rsidP="006F5A70">
      <w:pPr>
        <w:jc w:val="center"/>
        <w:rPr>
          <w:b/>
          <w:sz w:val="32"/>
          <w:szCs w:val="32"/>
        </w:rPr>
      </w:pPr>
      <w:r w:rsidRPr="006F5A70">
        <w:rPr>
          <w:b/>
          <w:sz w:val="32"/>
          <w:szCs w:val="32"/>
        </w:rPr>
        <w:t>Accessing OGC WMTS Web Services</w:t>
      </w:r>
    </w:p>
    <w:p w:rsidR="006F5A70" w:rsidRPr="006F5A70" w:rsidRDefault="006F5A70" w:rsidP="006F5A70">
      <w:pPr>
        <w:jc w:val="center"/>
        <w:rPr>
          <w:b/>
          <w:sz w:val="32"/>
          <w:szCs w:val="32"/>
        </w:rPr>
      </w:pPr>
      <w:r>
        <w:rPr>
          <w:b/>
          <w:sz w:val="32"/>
          <w:szCs w:val="32"/>
        </w:rPr>
        <w:t>in</w:t>
      </w:r>
    </w:p>
    <w:p w:rsidR="006F5A70" w:rsidRPr="006F5A70" w:rsidRDefault="006F5A70" w:rsidP="006F5A70">
      <w:pPr>
        <w:jc w:val="center"/>
        <w:rPr>
          <w:b/>
          <w:sz w:val="32"/>
          <w:szCs w:val="32"/>
        </w:rPr>
      </w:pPr>
      <w:r w:rsidRPr="006F5A70">
        <w:rPr>
          <w:b/>
          <w:sz w:val="32"/>
          <w:szCs w:val="32"/>
        </w:rPr>
        <w:t>ArcGIS Desktop and ArcGIS Online</w:t>
      </w:r>
    </w:p>
    <w:p w:rsidR="006F5A70" w:rsidRDefault="006F5A70" w:rsidP="006F5A70">
      <w:pPr>
        <w:rPr>
          <w:rFonts w:ascii="Calibri" w:hAnsi="Calibri"/>
          <w:color w:val="000000"/>
        </w:rPr>
      </w:pPr>
    </w:p>
    <w:p w:rsidR="005C2A82" w:rsidRDefault="005C2A82" w:rsidP="006F5A70">
      <w:pPr>
        <w:rPr>
          <w:rFonts w:ascii="Calibri" w:hAnsi="Calibri"/>
          <w:color w:val="000000"/>
        </w:rPr>
      </w:pPr>
      <w:r>
        <w:rPr>
          <w:rFonts w:ascii="Calibri" w:hAnsi="Calibri"/>
          <w:color w:val="000000"/>
        </w:rPr>
        <w:t xml:space="preserve">     </w:t>
      </w:r>
      <w:r w:rsidRPr="005C2A82">
        <w:rPr>
          <w:rFonts w:ascii="Calibri" w:hAnsi="Calibri"/>
          <w:color w:val="000000"/>
        </w:rPr>
        <w:t>The OGC (Open Geospatial Consortium) is an international</w:t>
      </w:r>
      <w:r>
        <w:rPr>
          <w:rFonts w:ascii="Calibri" w:hAnsi="Calibri"/>
          <w:color w:val="000000"/>
        </w:rPr>
        <w:t>,</w:t>
      </w:r>
      <w:r w:rsidRPr="005C2A82">
        <w:rPr>
          <w:rFonts w:ascii="Calibri" w:hAnsi="Calibri"/>
          <w:color w:val="000000"/>
        </w:rPr>
        <w:t xml:space="preserve"> not for profit organization </w:t>
      </w:r>
      <w:r>
        <w:rPr>
          <w:rFonts w:ascii="Calibri" w:hAnsi="Calibri"/>
          <w:color w:val="000000"/>
        </w:rPr>
        <w:t>that establishes and supports</w:t>
      </w:r>
      <w:r w:rsidRPr="005C2A82">
        <w:rPr>
          <w:rFonts w:ascii="Calibri" w:hAnsi="Calibri"/>
          <w:color w:val="000000"/>
        </w:rPr>
        <w:t xml:space="preserve"> open standards for the geospatial community. </w:t>
      </w:r>
      <w:r>
        <w:rPr>
          <w:rFonts w:ascii="Calibri" w:hAnsi="Calibri"/>
          <w:color w:val="000000"/>
        </w:rPr>
        <w:t xml:space="preserve"> </w:t>
      </w:r>
      <w:r w:rsidRPr="005C2A82">
        <w:rPr>
          <w:rFonts w:ascii="Calibri" w:hAnsi="Calibri"/>
          <w:color w:val="000000"/>
        </w:rPr>
        <w:t xml:space="preserve">These standards are made through a consensus process and are </w:t>
      </w:r>
      <w:r>
        <w:rPr>
          <w:rFonts w:ascii="Calibri" w:hAnsi="Calibri"/>
          <w:color w:val="000000"/>
        </w:rPr>
        <w:t>intended to</w:t>
      </w:r>
      <w:r w:rsidRPr="005C2A82">
        <w:rPr>
          <w:rFonts w:ascii="Calibri" w:hAnsi="Calibri"/>
          <w:color w:val="000000"/>
        </w:rPr>
        <w:t xml:space="preserve"> improve sharing of geospatial data.</w:t>
      </w:r>
      <w:r>
        <w:rPr>
          <w:rFonts w:ascii="Calibri" w:hAnsi="Calibri"/>
          <w:color w:val="000000"/>
        </w:rPr>
        <w:t xml:space="preserve">  A Web </w:t>
      </w:r>
      <w:r w:rsidR="002C1736">
        <w:rPr>
          <w:rFonts w:ascii="Calibri" w:hAnsi="Calibri"/>
          <w:color w:val="000000"/>
        </w:rPr>
        <w:t>Mopping</w:t>
      </w:r>
      <w:r>
        <w:rPr>
          <w:rFonts w:ascii="Calibri" w:hAnsi="Calibri"/>
          <w:color w:val="000000"/>
        </w:rPr>
        <w:t xml:space="preserve"> </w:t>
      </w:r>
      <w:r w:rsidR="002C1736">
        <w:rPr>
          <w:rFonts w:ascii="Calibri" w:hAnsi="Calibri"/>
          <w:color w:val="000000"/>
        </w:rPr>
        <w:t xml:space="preserve">Tile </w:t>
      </w:r>
      <w:r>
        <w:rPr>
          <w:rFonts w:ascii="Calibri" w:hAnsi="Calibri"/>
          <w:color w:val="000000"/>
        </w:rPr>
        <w:t>Service (WMTS) is a type of service</w:t>
      </w:r>
      <w:r w:rsidR="002C1736">
        <w:rPr>
          <w:rFonts w:ascii="Calibri" w:hAnsi="Calibri"/>
          <w:color w:val="000000"/>
        </w:rPr>
        <w:t>,</w:t>
      </w:r>
      <w:r>
        <w:rPr>
          <w:rFonts w:ascii="Calibri" w:hAnsi="Calibri"/>
          <w:color w:val="000000"/>
        </w:rPr>
        <w:t xml:space="preserve"> </w:t>
      </w:r>
      <w:r w:rsidR="002C1736">
        <w:rPr>
          <w:rFonts w:ascii="Calibri" w:hAnsi="Calibri"/>
          <w:color w:val="000000"/>
        </w:rPr>
        <w:t>designed</w:t>
      </w:r>
      <w:r>
        <w:rPr>
          <w:rFonts w:ascii="Calibri" w:hAnsi="Calibri"/>
          <w:color w:val="000000"/>
        </w:rPr>
        <w:t xml:space="preserve"> to </w:t>
      </w:r>
      <w:r w:rsidR="002C1736">
        <w:rPr>
          <w:rFonts w:ascii="Calibri" w:hAnsi="Calibri"/>
          <w:color w:val="000000"/>
        </w:rPr>
        <w:t>quickly and seamlessly display map images and photography.</w:t>
      </w:r>
    </w:p>
    <w:p w:rsidR="005C2A82" w:rsidRDefault="005C2A82" w:rsidP="006F5A70">
      <w:pPr>
        <w:rPr>
          <w:rFonts w:ascii="Calibri" w:hAnsi="Calibri"/>
          <w:color w:val="000000"/>
        </w:rPr>
      </w:pPr>
    </w:p>
    <w:p w:rsidR="006F5A70" w:rsidRDefault="006F5A70" w:rsidP="006F5A70">
      <w:pPr>
        <w:rPr>
          <w:rFonts w:ascii="Calibri" w:hAnsi="Calibri"/>
          <w:color w:val="000000"/>
        </w:rPr>
      </w:pPr>
      <w:r>
        <w:rPr>
          <w:rFonts w:ascii="Calibri" w:hAnsi="Calibri"/>
          <w:color w:val="000000"/>
        </w:rPr>
        <w:t xml:space="preserve">     </w:t>
      </w:r>
      <w:r w:rsidR="002C1736">
        <w:rPr>
          <w:rFonts w:ascii="Calibri" w:hAnsi="Calibri"/>
          <w:color w:val="000000"/>
        </w:rPr>
        <w:t>Below are</w:t>
      </w:r>
      <w:r>
        <w:rPr>
          <w:rFonts w:ascii="Calibri" w:hAnsi="Calibri"/>
          <w:color w:val="000000"/>
        </w:rPr>
        <w:t xml:space="preserve"> instructions for GIS users </w:t>
      </w:r>
      <w:r w:rsidR="002C1736">
        <w:rPr>
          <w:rFonts w:ascii="Calibri" w:hAnsi="Calibri"/>
          <w:color w:val="000000"/>
        </w:rPr>
        <w:t xml:space="preserve">on how </w:t>
      </w:r>
      <w:r>
        <w:rPr>
          <w:rFonts w:ascii="Calibri" w:hAnsi="Calibri"/>
          <w:color w:val="000000"/>
        </w:rPr>
        <w:t xml:space="preserve">to access </w:t>
      </w:r>
      <w:r w:rsidR="002C1736">
        <w:rPr>
          <w:rFonts w:ascii="Calibri" w:hAnsi="Calibri"/>
          <w:color w:val="000000"/>
        </w:rPr>
        <w:t>WMTS</w:t>
      </w:r>
      <w:r>
        <w:rPr>
          <w:rFonts w:ascii="Calibri" w:hAnsi="Calibri"/>
          <w:color w:val="000000"/>
        </w:rPr>
        <w:t xml:space="preserve"> resources, in </w:t>
      </w:r>
      <w:r w:rsidR="002C1736">
        <w:rPr>
          <w:rFonts w:ascii="Calibri" w:hAnsi="Calibri"/>
          <w:color w:val="000000"/>
        </w:rPr>
        <w:t>ArcGIS Desktop or ArcGIS Online.  To access the WMTS service, a properly formatted URL must be available.</w:t>
      </w:r>
      <w:r w:rsidR="00143B0C">
        <w:rPr>
          <w:rFonts w:ascii="Calibri" w:hAnsi="Calibri"/>
          <w:color w:val="000000"/>
        </w:rPr>
        <w:t xml:space="preserve">  Below is an example of a properly formatted WMTS URL for use in ArcGIS Desktop or ArcGIS Online:</w:t>
      </w:r>
    </w:p>
    <w:p w:rsidR="00143B0C" w:rsidRDefault="00143B0C" w:rsidP="006F5A70">
      <w:pPr>
        <w:rPr>
          <w:rFonts w:ascii="Calibri" w:hAnsi="Calibri"/>
          <w:color w:val="000000"/>
        </w:rPr>
      </w:pPr>
    </w:p>
    <w:p w:rsidR="00143B0C" w:rsidRDefault="00143B0C" w:rsidP="006F5A70">
      <w:pPr>
        <w:rPr>
          <w:rFonts w:ascii="Calibri" w:hAnsi="Calibri"/>
          <w:color w:val="000000"/>
        </w:rPr>
      </w:pPr>
      <w:r>
        <w:rPr>
          <w:rFonts w:ascii="Calibri" w:hAnsi="Calibri"/>
          <w:color w:val="000000"/>
        </w:rPr>
        <w:t xml:space="preserve">          </w:t>
      </w:r>
      <w:r w:rsidRPr="00143B0C">
        <w:rPr>
          <w:rFonts w:ascii="Calibri" w:hAnsi="Calibri"/>
          <w:color w:val="000000"/>
        </w:rPr>
        <w:t>https://storms.ngs.noaa.gov/storms/tilesg/services/tileserver.php/wmts</w:t>
      </w:r>
    </w:p>
    <w:p w:rsidR="006F5A70" w:rsidRDefault="006F5A70" w:rsidP="006F5A70">
      <w:pPr>
        <w:rPr>
          <w:rFonts w:ascii="Calibri" w:hAnsi="Calibri"/>
          <w:color w:val="000000"/>
        </w:rPr>
      </w:pPr>
    </w:p>
    <w:p w:rsidR="00143B0C" w:rsidRDefault="00143B0C" w:rsidP="006F5A70">
      <w:pPr>
        <w:rPr>
          <w:rFonts w:ascii="Calibri" w:hAnsi="Calibri"/>
          <w:color w:val="000000"/>
        </w:rPr>
      </w:pPr>
      <w:r>
        <w:rPr>
          <w:rFonts w:ascii="Calibri" w:hAnsi="Calibri"/>
          <w:color w:val="000000"/>
        </w:rPr>
        <w:t>In either environment, once the WMTS data source [URL] is instantiated as a data source, it can be accessed by many different applications.  This process is described, below, for both ArcGIS Desktop and ArcGIS Online.</w:t>
      </w:r>
    </w:p>
    <w:p w:rsidR="00143B0C" w:rsidRDefault="00143B0C" w:rsidP="006F5A70">
      <w:pPr>
        <w:rPr>
          <w:rFonts w:ascii="Calibri" w:hAnsi="Calibri"/>
          <w:color w:val="000000"/>
        </w:rPr>
      </w:pPr>
    </w:p>
    <w:p w:rsidR="00143B0C" w:rsidRDefault="00143B0C" w:rsidP="006F5A70">
      <w:pPr>
        <w:rPr>
          <w:rFonts w:ascii="Calibri" w:hAnsi="Calibri"/>
          <w:color w:val="000000"/>
        </w:rPr>
      </w:pPr>
    </w:p>
    <w:p w:rsidR="006F5A70" w:rsidRPr="00143B0C" w:rsidRDefault="006F5A70" w:rsidP="006F5A70">
      <w:pPr>
        <w:numPr>
          <w:ilvl w:val="0"/>
          <w:numId w:val="1"/>
        </w:numPr>
        <w:spacing w:after="240"/>
        <w:rPr>
          <w:rFonts w:ascii="Calibri" w:eastAsia="Times New Roman" w:hAnsi="Calibri"/>
          <w:b/>
          <w:color w:val="000000"/>
          <w:u w:val="single"/>
        </w:rPr>
      </w:pPr>
      <w:r w:rsidRPr="00143B0C">
        <w:rPr>
          <w:rFonts w:ascii="Calibri" w:eastAsia="Times New Roman" w:hAnsi="Calibri"/>
          <w:b/>
          <w:color w:val="000000"/>
          <w:u w:val="single"/>
        </w:rPr>
        <w:t>ArcGIS Desktop – ArcCatalog and ArcMap</w:t>
      </w:r>
    </w:p>
    <w:p w:rsidR="006F5A70" w:rsidRDefault="006F5A70" w:rsidP="006F5A70">
      <w:pPr>
        <w:numPr>
          <w:ilvl w:val="1"/>
          <w:numId w:val="1"/>
        </w:numPr>
        <w:spacing w:after="240"/>
        <w:rPr>
          <w:rFonts w:ascii="Calibri" w:eastAsia="Times New Roman" w:hAnsi="Calibri"/>
          <w:color w:val="000000"/>
        </w:rPr>
      </w:pPr>
      <w:r>
        <w:rPr>
          <w:rFonts w:ascii="Calibri" w:eastAsia="Times New Roman" w:hAnsi="Calibri"/>
          <w:color w:val="000000"/>
        </w:rPr>
        <w:t>In ArcCatalog, create a new WMTS Service Connection</w:t>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In the “GIS Servers" folder</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 xml:space="preserve">Click, “Add WMTS Server” </w:t>
      </w:r>
      <w:r>
        <w:rPr>
          <w:rFonts w:ascii="Wingdings" w:eastAsia="Times New Roman" w:hAnsi="Wingdings"/>
          <w:color w:val="000000"/>
        </w:rPr>
        <w:t></w:t>
      </w:r>
      <w:r>
        <w:rPr>
          <w:rFonts w:ascii="Calibri" w:eastAsia="Times New Roman" w:hAnsi="Calibri"/>
          <w:color w:val="000000"/>
        </w:rPr>
        <w:t xml:space="preserve"> </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Copy the Server URL, from the NOAA email</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Paste it into the URL Textbox</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Click “Get Layers” to see:</w:t>
      </w:r>
    </w:p>
    <w:p w:rsidR="006F5A70" w:rsidRDefault="006F5A70" w:rsidP="006F5A70">
      <w:pPr>
        <w:ind w:left="1800"/>
        <w:rPr>
          <w:rFonts w:ascii="Calibri" w:hAnsi="Calibri"/>
          <w:color w:val="000000"/>
        </w:rPr>
      </w:pPr>
      <w:r>
        <w:rPr>
          <w:rFonts w:ascii="Calibri" w:hAnsi="Calibri"/>
          <w:color w:val="000000"/>
        </w:rPr>
        <w:lastRenderedPageBreak/>
        <w:br/>
      </w:r>
      <w:r>
        <w:rPr>
          <w:noProof/>
        </w:rPr>
        <w:drawing>
          <wp:inline distT="0" distB="0" distL="0" distR="0" wp14:anchorId="50E821F3" wp14:editId="18381D8F">
            <wp:extent cx="5279390" cy="5713730"/>
            <wp:effectExtent l="0" t="0" r="0" b="1270"/>
            <wp:docPr id="1" name="Picture 2" descr="cid:image002.png@01D34409.E0027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409.E0027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79390" cy="5713730"/>
                    </a:xfrm>
                    <a:prstGeom prst="rect">
                      <a:avLst/>
                    </a:prstGeom>
                    <a:noFill/>
                    <a:ln>
                      <a:noFill/>
                    </a:ln>
                  </pic:spPr>
                </pic:pic>
              </a:graphicData>
            </a:graphic>
          </wp:inline>
        </w:drawing>
      </w:r>
      <w:r w:rsidR="00143B0C">
        <w:rPr>
          <w:rFonts w:ascii="Calibri"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Click “OK” to create the WMTS Server Connection</w:t>
      </w:r>
      <w:r w:rsidR="00143B0C">
        <w:rPr>
          <w:rFonts w:ascii="Calibri" w:eastAsia="Times New Roman" w:hAnsi="Calibri"/>
          <w:color w:val="000000"/>
        </w:rPr>
        <w:br/>
      </w:r>
    </w:p>
    <w:p w:rsidR="006F5A70" w:rsidRDefault="006F5A70" w:rsidP="006F5A70">
      <w:pPr>
        <w:numPr>
          <w:ilvl w:val="2"/>
          <w:numId w:val="1"/>
        </w:numPr>
        <w:spacing w:after="240"/>
        <w:rPr>
          <w:rFonts w:ascii="Calibri" w:eastAsia="Times New Roman" w:hAnsi="Calibri"/>
          <w:color w:val="000000"/>
        </w:rPr>
      </w:pPr>
      <w:r>
        <w:rPr>
          <w:rFonts w:ascii="Calibri" w:eastAsia="Times New Roman" w:hAnsi="Calibri"/>
          <w:color w:val="000000"/>
        </w:rPr>
        <w:t>Rename the connection to clearly identify what it is.</w:t>
      </w:r>
    </w:p>
    <w:p w:rsidR="006F5A70" w:rsidRDefault="00143B0C" w:rsidP="006F5A70">
      <w:pPr>
        <w:numPr>
          <w:ilvl w:val="1"/>
          <w:numId w:val="1"/>
        </w:numPr>
        <w:spacing w:after="240"/>
        <w:rPr>
          <w:rFonts w:ascii="Calibri" w:eastAsia="Times New Roman" w:hAnsi="Calibri"/>
          <w:color w:val="000000"/>
        </w:rPr>
      </w:pPr>
      <w:r>
        <w:rPr>
          <w:rFonts w:ascii="Calibri" w:eastAsia="Times New Roman" w:hAnsi="Calibri"/>
          <w:color w:val="000000"/>
        </w:rPr>
        <w:t xml:space="preserve">This </w:t>
      </w:r>
      <w:r w:rsidR="006F5A70">
        <w:rPr>
          <w:rFonts w:ascii="Calibri" w:eastAsia="Times New Roman" w:hAnsi="Calibri"/>
          <w:color w:val="000000"/>
        </w:rPr>
        <w:t xml:space="preserve">now </w:t>
      </w:r>
      <w:r>
        <w:rPr>
          <w:rFonts w:ascii="Calibri" w:eastAsia="Times New Roman" w:hAnsi="Calibri"/>
          <w:color w:val="000000"/>
        </w:rPr>
        <w:t>provides</w:t>
      </w:r>
      <w:r w:rsidR="006F5A70">
        <w:rPr>
          <w:rFonts w:ascii="Calibri" w:eastAsia="Times New Roman" w:hAnsi="Calibri"/>
          <w:color w:val="000000"/>
        </w:rPr>
        <w:t xml:space="preserve"> access to the server and </w:t>
      </w:r>
      <w:r>
        <w:rPr>
          <w:rFonts w:ascii="Calibri" w:eastAsia="Times New Roman" w:hAnsi="Calibri"/>
          <w:color w:val="000000"/>
        </w:rPr>
        <w:t xml:space="preserve">all of </w:t>
      </w:r>
      <w:r w:rsidR="006F5A70">
        <w:rPr>
          <w:rFonts w:ascii="Calibri" w:eastAsia="Times New Roman" w:hAnsi="Calibri"/>
          <w:color w:val="000000"/>
        </w:rPr>
        <w:t>its services</w:t>
      </w:r>
      <w:r>
        <w:rPr>
          <w:rFonts w:ascii="Calibri" w:eastAsia="Times New Roman" w:hAnsi="Calibri"/>
          <w:color w:val="000000"/>
        </w:rPr>
        <w:t>/content in all ArcGIS Desktop a</w:t>
      </w:r>
      <w:r w:rsidR="006F5A70">
        <w:rPr>
          <w:rFonts w:ascii="Calibri" w:eastAsia="Times New Roman" w:hAnsi="Calibri"/>
          <w:color w:val="000000"/>
        </w:rPr>
        <w:t>pplications.</w:t>
      </w:r>
    </w:p>
    <w:p w:rsidR="006F5A70" w:rsidRDefault="006F5A70" w:rsidP="006F5A70">
      <w:pPr>
        <w:numPr>
          <w:ilvl w:val="0"/>
          <w:numId w:val="1"/>
        </w:numPr>
        <w:spacing w:after="240"/>
        <w:rPr>
          <w:rFonts w:ascii="Calibri" w:eastAsia="Times New Roman" w:hAnsi="Calibri"/>
          <w:color w:val="000000"/>
        </w:rPr>
      </w:pPr>
      <w:r w:rsidRPr="00143B0C">
        <w:rPr>
          <w:rFonts w:ascii="Calibri" w:eastAsia="Times New Roman" w:hAnsi="Calibri"/>
          <w:b/>
          <w:color w:val="000000"/>
          <w:u w:val="single"/>
        </w:rPr>
        <w:t xml:space="preserve">ArcGIS Online (AGO) – </w:t>
      </w:r>
      <w:r w:rsidR="00143B0C" w:rsidRPr="00143B0C">
        <w:rPr>
          <w:rFonts w:ascii="Calibri" w:eastAsia="Times New Roman" w:hAnsi="Calibri"/>
          <w:b/>
          <w:color w:val="000000"/>
          <w:u w:val="single"/>
        </w:rPr>
        <w:t>Create a “Content” source of add to a Map</w:t>
      </w:r>
      <w:r w:rsidR="00143B0C">
        <w:rPr>
          <w:rFonts w:ascii="Calibri" w:eastAsia="Times New Roman" w:hAnsi="Calibri"/>
          <w:b/>
          <w:color w:val="000000"/>
          <w:u w:val="single"/>
        </w:rPr>
        <w:br/>
      </w:r>
      <w:r w:rsidR="00143B0C">
        <w:rPr>
          <w:rFonts w:ascii="Calibri" w:eastAsia="Times New Roman" w:hAnsi="Calibri"/>
          <w:color w:val="000000"/>
        </w:rPr>
        <w:br/>
      </w:r>
      <w:r>
        <w:rPr>
          <w:rFonts w:ascii="Calibri" w:eastAsia="Times New Roman" w:hAnsi="Calibri"/>
          <w:color w:val="000000"/>
        </w:rPr>
        <w:t xml:space="preserve">You can add as a source in your “Content Folders” or directly into a Map.  If you add it as a “Content Item,” you can use it anywhere in AGO.  If you add it into a Map, it will only </w:t>
      </w:r>
      <w:r>
        <w:rPr>
          <w:rFonts w:ascii="Calibri" w:eastAsia="Times New Roman" w:hAnsi="Calibri"/>
          <w:color w:val="000000"/>
        </w:rPr>
        <w:lastRenderedPageBreak/>
        <w:t>exist in that map when you “Save” it.  I recommend the former and will outline that process, below.</w:t>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t>Log-into AGO</w:t>
      </w:r>
      <w:r w:rsidR="00143B0C">
        <w:rPr>
          <w:rFonts w:ascii="Calibri" w:eastAsia="Times New Roman" w:hAnsi="Calibri"/>
          <w:color w:val="000000"/>
        </w:rPr>
        <w:br/>
      </w:r>
    </w:p>
    <w:p w:rsidR="006F5A70" w:rsidRDefault="006F5A70" w:rsidP="006F5A70">
      <w:pPr>
        <w:numPr>
          <w:ilvl w:val="1"/>
          <w:numId w:val="1"/>
        </w:numPr>
        <w:spacing w:after="240"/>
        <w:rPr>
          <w:rFonts w:ascii="Calibri" w:eastAsia="Times New Roman" w:hAnsi="Calibri"/>
          <w:color w:val="000000"/>
        </w:rPr>
      </w:pPr>
      <w:r>
        <w:rPr>
          <w:rFonts w:ascii="Calibri" w:eastAsia="Times New Roman" w:hAnsi="Calibri"/>
          <w:color w:val="000000"/>
        </w:rPr>
        <w:t>Click on, “Content” at the top of the screen, to go to your “Content” page.</w:t>
      </w:r>
      <w:r>
        <w:rPr>
          <w:rFonts w:ascii="Calibri" w:eastAsia="Times New Roman" w:hAnsi="Calibri"/>
          <w:color w:val="000000"/>
        </w:rPr>
        <w:br/>
      </w:r>
      <w:r>
        <w:rPr>
          <w:rFonts w:ascii="Calibri" w:eastAsia="Times New Roman" w:hAnsi="Calibri"/>
          <w:color w:val="000000"/>
        </w:rPr>
        <w:br/>
        <w:t>You should organize your content in folders with names related to what is in them.  Different people have different ways to organize their data.  You may keep all imagery sources in one folder.  Or, in this case, you may want to hav</w:t>
      </w:r>
      <w:r w:rsidR="00827A4D">
        <w:rPr>
          <w:rFonts w:ascii="Calibri" w:eastAsia="Times New Roman" w:hAnsi="Calibri"/>
          <w:color w:val="000000"/>
        </w:rPr>
        <w:t>e a folder for NOAA content or p</w:t>
      </w:r>
      <w:r>
        <w:rPr>
          <w:rFonts w:ascii="Calibri" w:eastAsia="Times New Roman" w:hAnsi="Calibri"/>
          <w:color w:val="000000"/>
        </w:rPr>
        <w:t>erhaps a folder for content related to the storm, Nate.</w:t>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t>Select the folder in which you wish to create the connection to the WMTS Server, by clicking on it or creating a new one.</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To create a new folder, click, “New” at the top of the Folder List</w:t>
      </w:r>
      <w:r w:rsidR="00143B0C">
        <w:rPr>
          <w:rFonts w:ascii="Calibri" w:eastAsia="Times New Roman" w:hAnsi="Calibri"/>
          <w:color w:val="000000"/>
        </w:rPr>
        <w:br/>
      </w:r>
    </w:p>
    <w:p w:rsidR="006F5A70" w:rsidRDefault="006F5A70" w:rsidP="006F5A70">
      <w:pPr>
        <w:numPr>
          <w:ilvl w:val="2"/>
          <w:numId w:val="1"/>
        </w:numPr>
        <w:spacing w:after="240"/>
        <w:rPr>
          <w:rFonts w:ascii="Calibri" w:eastAsia="Times New Roman" w:hAnsi="Calibri"/>
          <w:color w:val="000000"/>
        </w:rPr>
      </w:pPr>
      <w:r>
        <w:rPr>
          <w:rFonts w:ascii="Calibri" w:eastAsia="Times New Roman" w:hAnsi="Calibri"/>
          <w:color w:val="000000"/>
        </w:rPr>
        <w:t>In the Dialog Box, enter a name for the new folder</w:t>
      </w:r>
      <w:r>
        <w:rPr>
          <w:rFonts w:ascii="Calibri" w:eastAsia="Times New Roman" w:hAnsi="Calibri"/>
          <w:color w:val="000000"/>
        </w:rPr>
        <w:br/>
      </w:r>
      <w:r>
        <w:rPr>
          <w:rFonts w:ascii="Calibri" w:eastAsia="Times New Roman" w:hAnsi="Calibri"/>
          <w:color w:val="000000"/>
        </w:rPr>
        <w:br/>
      </w:r>
      <w:r>
        <w:rPr>
          <w:rFonts w:eastAsia="Times New Roman"/>
          <w:noProof/>
        </w:rPr>
        <w:drawing>
          <wp:inline distT="0" distB="0" distL="0" distR="0" wp14:anchorId="746B4A8E" wp14:editId="56403FCB">
            <wp:extent cx="5163185" cy="2616835"/>
            <wp:effectExtent l="0" t="0" r="0" b="0"/>
            <wp:docPr id="2" name="Picture 7" descr="cid:image003.png@01D3440E.F835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3440E.F8357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63185" cy="2616835"/>
                    </a:xfrm>
                    <a:prstGeom prst="rect">
                      <a:avLst/>
                    </a:prstGeom>
                    <a:noFill/>
                    <a:ln>
                      <a:noFill/>
                    </a:ln>
                  </pic:spPr>
                </pic:pic>
              </a:graphicData>
            </a:graphic>
          </wp:inline>
        </w:drawing>
      </w:r>
      <w:r w:rsidR="00143B0C">
        <w:rPr>
          <w:rFonts w:ascii="Calibri" w:eastAsia="Times New Roman" w:hAnsi="Calibri"/>
          <w:color w:val="000000"/>
        </w:rPr>
        <w:br/>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t>Click “OK” to create the folder.</w:t>
      </w:r>
      <w:r w:rsidR="00143B0C">
        <w:rPr>
          <w:rFonts w:ascii="Calibri" w:eastAsia="Times New Roman" w:hAnsi="Calibri"/>
          <w:color w:val="000000"/>
        </w:rPr>
        <w:br/>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t>When the Dialog Box closes, you will be in the empty, new folder.</w:t>
      </w:r>
      <w:r w:rsidR="00143B0C">
        <w:rPr>
          <w:rFonts w:ascii="Calibri" w:eastAsia="Times New Roman" w:hAnsi="Calibri"/>
          <w:color w:val="000000"/>
        </w:rPr>
        <w:br/>
      </w:r>
    </w:p>
    <w:p w:rsidR="006F5A70" w:rsidRDefault="006F5A70" w:rsidP="006F5A70">
      <w:pPr>
        <w:numPr>
          <w:ilvl w:val="0"/>
          <w:numId w:val="1"/>
        </w:numPr>
        <w:rPr>
          <w:rFonts w:ascii="Calibri" w:eastAsia="Times New Roman" w:hAnsi="Calibri"/>
          <w:color w:val="000000"/>
        </w:rPr>
      </w:pPr>
      <w:r>
        <w:rPr>
          <w:rFonts w:ascii="Calibri" w:eastAsia="Times New Roman" w:hAnsi="Calibri"/>
          <w:color w:val="000000"/>
        </w:rPr>
        <w:t>To add content to a folder:</w:t>
      </w:r>
      <w:r w:rsidR="00143B0C">
        <w:rPr>
          <w:rFonts w:ascii="Calibri" w:eastAsia="Times New Roman" w:hAnsi="Calibri"/>
          <w:color w:val="000000"/>
        </w:rPr>
        <w:br/>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t>Click the “Add Item” dropdown, in the upper left, above he folder list</w:t>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lastRenderedPageBreak/>
        <w:t>Select. “From the Web” to get the Dialog Box:</w:t>
      </w:r>
      <w:r>
        <w:rPr>
          <w:rFonts w:ascii="Calibri" w:eastAsia="Times New Roman" w:hAnsi="Calibri"/>
          <w:color w:val="000000"/>
        </w:rPr>
        <w:br/>
      </w:r>
      <w:r>
        <w:rPr>
          <w:rFonts w:ascii="Calibri" w:eastAsia="Times New Roman" w:hAnsi="Calibri"/>
          <w:color w:val="000000"/>
        </w:rPr>
        <w:br/>
      </w:r>
      <w:r>
        <w:rPr>
          <w:rFonts w:eastAsia="Times New Roman"/>
          <w:noProof/>
        </w:rPr>
        <w:drawing>
          <wp:inline distT="0" distB="0" distL="0" distR="0" wp14:anchorId="53181D46" wp14:editId="1CF0A278">
            <wp:extent cx="7133590" cy="6724015"/>
            <wp:effectExtent l="0" t="0" r="0" b="635"/>
            <wp:docPr id="3" name="Picture 8" descr="cid:image004.png@01D34412.927C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png@01D34412.927C0D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33590" cy="6724015"/>
                    </a:xfrm>
                    <a:prstGeom prst="rect">
                      <a:avLst/>
                    </a:prstGeom>
                    <a:noFill/>
                    <a:ln>
                      <a:noFill/>
                    </a:ln>
                  </pic:spPr>
                </pic:pic>
              </a:graphicData>
            </a:graphic>
          </wp:inline>
        </w:drawing>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Select the, “WMTS (OGC)” Radio Button.</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Paste the URL, into the URL Textbox.</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lastRenderedPageBreak/>
        <w:t>Enter a name I the Title Textbox.  This will appear in your Content List.</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Enter “keywords” in the Tags Textbox.  Select key words and phrases that accurately depict the content so they can be effectively discovered by searches.</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The “Layer:” dropdown will automatically populate, from your URL.</w:t>
      </w:r>
      <w:r w:rsidR="00143B0C">
        <w:rPr>
          <w:rFonts w:ascii="Calibri" w:eastAsia="Times New Roman" w:hAnsi="Calibri"/>
          <w:color w:val="000000"/>
        </w:rPr>
        <w:br/>
      </w:r>
    </w:p>
    <w:p w:rsidR="006F5A70" w:rsidRDefault="006F5A70" w:rsidP="006F5A70">
      <w:pPr>
        <w:numPr>
          <w:ilvl w:val="2"/>
          <w:numId w:val="1"/>
        </w:numPr>
        <w:spacing w:after="240"/>
        <w:rPr>
          <w:rFonts w:ascii="Calibri" w:eastAsia="Times New Roman" w:hAnsi="Calibri"/>
          <w:color w:val="000000"/>
        </w:rPr>
      </w:pPr>
      <w:r>
        <w:rPr>
          <w:rFonts w:ascii="Calibri" w:eastAsia="Times New Roman" w:hAnsi="Calibri"/>
          <w:color w:val="000000"/>
        </w:rPr>
        <w:t>Click the “Add Item” Button (You may need to scroll down to see it).</w:t>
      </w:r>
    </w:p>
    <w:p w:rsidR="006F5A70" w:rsidRDefault="006F5A70" w:rsidP="006F5A70">
      <w:pPr>
        <w:numPr>
          <w:ilvl w:val="1"/>
          <w:numId w:val="1"/>
        </w:numPr>
        <w:spacing w:after="240"/>
        <w:rPr>
          <w:rFonts w:ascii="Calibri" w:eastAsia="Times New Roman" w:hAnsi="Calibri"/>
          <w:color w:val="000000"/>
        </w:rPr>
      </w:pPr>
      <w:r>
        <w:rPr>
          <w:rFonts w:ascii="Calibri" w:eastAsia="Times New Roman" w:hAnsi="Calibri"/>
          <w:color w:val="000000"/>
        </w:rPr>
        <w:t>The new Content Item’s “Details” web page will appear.</w:t>
      </w:r>
      <w:r>
        <w:rPr>
          <w:rFonts w:ascii="Calibri" w:eastAsia="Times New Roman" w:hAnsi="Calibri"/>
          <w:color w:val="000000"/>
        </w:rPr>
        <w:br/>
      </w:r>
      <w:r>
        <w:rPr>
          <w:rFonts w:ascii="Calibri" w:eastAsia="Times New Roman" w:hAnsi="Calibri"/>
          <w:color w:val="000000"/>
        </w:rPr>
        <w:br/>
        <w:t>On this page, you should complete documenting your new Content Item by filling in:</w:t>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Description – Describe what this is, what it contains, and other useful background information.</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Access and Use Constraints – If there are none, enter, “None.”</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You can also modify the graphic thumbnail associated with the Details page/item.</w:t>
      </w:r>
      <w:r w:rsidR="00143B0C">
        <w:rPr>
          <w:rFonts w:ascii="Calibri" w:eastAsia="Times New Roman" w:hAnsi="Calibri"/>
          <w:color w:val="000000"/>
        </w:rPr>
        <w:br/>
      </w:r>
    </w:p>
    <w:p w:rsidR="006F5A70" w:rsidRDefault="006F5A70" w:rsidP="006F5A70">
      <w:pPr>
        <w:numPr>
          <w:ilvl w:val="2"/>
          <w:numId w:val="1"/>
        </w:numPr>
        <w:rPr>
          <w:rFonts w:ascii="Calibri" w:eastAsia="Times New Roman" w:hAnsi="Calibri"/>
          <w:color w:val="000000"/>
        </w:rPr>
      </w:pPr>
      <w:r>
        <w:rPr>
          <w:rFonts w:ascii="Calibri" w:eastAsia="Times New Roman" w:hAnsi="Calibri"/>
          <w:color w:val="000000"/>
        </w:rPr>
        <w:t>Modify Tags (keywords).</w:t>
      </w:r>
      <w:r w:rsidR="00143B0C">
        <w:rPr>
          <w:rFonts w:ascii="Calibri" w:eastAsia="Times New Roman" w:hAnsi="Calibri"/>
          <w:color w:val="000000"/>
        </w:rPr>
        <w:br/>
      </w:r>
    </w:p>
    <w:p w:rsidR="006F5A70" w:rsidRDefault="006F5A70" w:rsidP="006F5A70">
      <w:pPr>
        <w:numPr>
          <w:ilvl w:val="2"/>
          <w:numId w:val="1"/>
        </w:numPr>
        <w:spacing w:after="240"/>
        <w:rPr>
          <w:rFonts w:ascii="Calibri" w:eastAsia="Times New Roman" w:hAnsi="Calibri"/>
          <w:color w:val="000000"/>
        </w:rPr>
      </w:pPr>
      <w:r>
        <w:rPr>
          <w:rFonts w:ascii="Calibri" w:eastAsia="Times New Roman" w:hAnsi="Calibri"/>
          <w:color w:val="000000"/>
        </w:rPr>
        <w:t>There are many settings to explore on this page.</w:t>
      </w:r>
    </w:p>
    <w:p w:rsidR="006F5A70" w:rsidRDefault="006F5A70" w:rsidP="006F5A70">
      <w:pPr>
        <w:numPr>
          <w:ilvl w:val="1"/>
          <w:numId w:val="1"/>
        </w:numPr>
        <w:rPr>
          <w:rFonts w:ascii="Calibri" w:eastAsia="Times New Roman" w:hAnsi="Calibri"/>
          <w:color w:val="000000"/>
        </w:rPr>
      </w:pPr>
      <w:r>
        <w:rPr>
          <w:rFonts w:ascii="Calibri" w:eastAsia="Times New Roman" w:hAnsi="Calibri"/>
          <w:color w:val="000000"/>
        </w:rPr>
        <w:t xml:space="preserve">The </w:t>
      </w:r>
      <w:r>
        <w:rPr>
          <w:rFonts w:ascii="Calibri" w:eastAsia="Times New Roman" w:hAnsi="Calibri"/>
          <w:b/>
          <w:bCs/>
          <w:color w:val="000000"/>
          <w:u w:val="single"/>
        </w:rPr>
        <w:t>FINAL Step</w:t>
      </w:r>
      <w:r>
        <w:rPr>
          <w:rFonts w:ascii="Calibri" w:eastAsia="Times New Roman" w:hAnsi="Calibri"/>
          <w:color w:val="000000"/>
        </w:rPr>
        <w:t xml:space="preserve"> is to “Share” the content item.  By default, you are the only one with access to the Content Item.  To share it, click the “Share” Button on the left side of the “Overview” Tab on the Details Page.  You will get a Dialog Box with a list of Groups or other entities with which you can share.  This list will differ, depending on the role your account is assigned.</w:t>
      </w:r>
    </w:p>
    <w:p w:rsidR="006F5A70" w:rsidRDefault="006F5A70" w:rsidP="006F5A70">
      <w:pPr>
        <w:rPr>
          <w:rFonts w:ascii="Calibri" w:hAnsi="Calibri"/>
          <w:color w:val="000000"/>
        </w:rPr>
      </w:pPr>
    </w:p>
    <w:p w:rsidR="00143B0C" w:rsidRDefault="00143B0C" w:rsidP="006F5A70">
      <w:pPr>
        <w:rPr>
          <w:rFonts w:ascii="Calibri" w:hAnsi="Calibri"/>
          <w:color w:val="000000"/>
        </w:rPr>
      </w:pPr>
    </w:p>
    <w:p w:rsidR="006F5A70" w:rsidRDefault="00143B0C" w:rsidP="006F5A70">
      <w:pPr>
        <w:rPr>
          <w:rFonts w:ascii="Calibri" w:hAnsi="Calibri"/>
          <w:b/>
          <w:color w:val="000000"/>
          <w:u w:val="single"/>
        </w:rPr>
      </w:pPr>
      <w:r w:rsidRPr="00143B0C">
        <w:rPr>
          <w:rFonts w:ascii="Calibri" w:hAnsi="Calibri"/>
          <w:b/>
          <w:color w:val="000000"/>
          <w:u w:val="single"/>
        </w:rPr>
        <w:t>Final Notes</w:t>
      </w:r>
    </w:p>
    <w:p w:rsidR="00143B0C" w:rsidRPr="00143B0C" w:rsidRDefault="00143B0C" w:rsidP="006F5A70">
      <w:pPr>
        <w:rPr>
          <w:rFonts w:ascii="Calibri" w:hAnsi="Calibri"/>
          <w:b/>
          <w:color w:val="000000"/>
          <w:u w:val="single"/>
        </w:rPr>
      </w:pPr>
    </w:p>
    <w:p w:rsidR="00143B0C" w:rsidRDefault="00143B0C" w:rsidP="006F5A70">
      <w:pPr>
        <w:rPr>
          <w:rFonts w:ascii="Calibri" w:hAnsi="Calibri"/>
          <w:color w:val="000000"/>
        </w:rPr>
      </w:pPr>
      <w:r>
        <w:rPr>
          <w:rFonts w:ascii="Calibri" w:hAnsi="Calibri"/>
          <w:color w:val="000000"/>
        </w:rPr>
        <w:t>These processes are documented in both the ArcGIS Desktop and ArcGIS Online Help systems.  For more detailed information, please refer to those resources.  The</w:t>
      </w:r>
      <w:r>
        <w:rPr>
          <w:rFonts w:ascii="Calibri" w:hAnsi="Calibri"/>
          <w:color w:val="000000"/>
        </w:rPr>
        <w:t xml:space="preserve"> instructions</w:t>
      </w:r>
      <w:r>
        <w:rPr>
          <w:rFonts w:ascii="Calibri" w:hAnsi="Calibri"/>
          <w:color w:val="000000"/>
        </w:rPr>
        <w:t xml:space="preserve"> provided</w:t>
      </w:r>
      <w:r>
        <w:rPr>
          <w:rFonts w:ascii="Calibri" w:hAnsi="Calibri"/>
          <w:color w:val="000000"/>
        </w:rPr>
        <w:t>, above, are</w:t>
      </w:r>
      <w:r>
        <w:rPr>
          <w:rFonts w:ascii="Calibri" w:hAnsi="Calibri"/>
          <w:color w:val="000000"/>
        </w:rPr>
        <w:t xml:space="preserve"> intended as a “quick start,” shortcut for simple reference.  The accuracy and effectiveness of the above outlined processes were developed in September, 2017, using ArcGIS Desktop Version 10.4.1 and the version of ArcGIS Online that was in production at that time.  They can be affected by changes in the capabilities and configuration of the underlying systems, which are subject to change, without notice.  If problems are encountered, refer to the Help system for your software.  Otherwise feel free to contact me.   </w:t>
      </w:r>
      <w:r w:rsidR="00827A4D">
        <w:rPr>
          <w:rFonts w:ascii="Calibri" w:hAnsi="Calibri"/>
          <w:color w:val="000000"/>
        </w:rPr>
        <w:t>Using</w:t>
      </w:r>
      <w:r>
        <w:rPr>
          <w:rFonts w:ascii="Calibri" w:hAnsi="Calibri"/>
          <w:color w:val="000000"/>
        </w:rPr>
        <w:t xml:space="preserve"> the contact </w:t>
      </w:r>
    </w:p>
    <w:p w:rsidR="00143B0C" w:rsidRDefault="004056E3" w:rsidP="006F5A70">
      <w:pPr>
        <w:rPr>
          <w:rFonts w:ascii="Calibri" w:hAnsi="Calibri"/>
          <w:color w:val="000000"/>
        </w:rPr>
      </w:pPr>
      <w:r>
        <w:rPr>
          <w:rFonts w:ascii="Calibri" w:hAnsi="Calibri"/>
          <w:color w:val="000000"/>
        </w:rPr>
        <w:lastRenderedPageBreak/>
        <w:t>Ji</w:t>
      </w:r>
      <w:r w:rsidR="00143B0C">
        <w:rPr>
          <w:rFonts w:ascii="Calibri" w:hAnsi="Calibri"/>
          <w:color w:val="000000"/>
        </w:rPr>
        <w:t>m Mitchell</w:t>
      </w:r>
    </w:p>
    <w:p w:rsidR="004056E3" w:rsidRDefault="004056E3" w:rsidP="006F5A70">
      <w:pPr>
        <w:rPr>
          <w:rFonts w:ascii="Calibri" w:hAnsi="Calibri"/>
          <w:color w:val="000000"/>
        </w:rPr>
      </w:pPr>
      <w:hyperlink r:id="rId11" w:history="1">
        <w:r w:rsidRPr="0028760E">
          <w:rPr>
            <w:rStyle w:val="Hyperlink"/>
            <w:rFonts w:ascii="Calibri" w:hAnsi="Calibri"/>
          </w:rPr>
          <w:t>jim.mitchell@la.gov</w:t>
        </w:r>
      </w:hyperlink>
    </w:p>
    <w:p w:rsidR="004056E3" w:rsidRDefault="004056E3" w:rsidP="006F5A70">
      <w:pPr>
        <w:rPr>
          <w:rFonts w:ascii="Calibri" w:hAnsi="Calibri"/>
          <w:color w:val="000000"/>
        </w:rPr>
      </w:pPr>
      <w:r>
        <w:rPr>
          <w:rFonts w:ascii="Calibri" w:hAnsi="Calibri"/>
          <w:color w:val="000000"/>
        </w:rPr>
        <w:t>225-379-1881</w:t>
      </w:r>
    </w:p>
    <w:p w:rsidR="00D44D11" w:rsidRDefault="00D44D11" w:rsidP="006F5A70">
      <w:pPr>
        <w:rPr>
          <w:rFonts w:ascii="Calibri" w:hAnsi="Calibri"/>
          <w:color w:val="000000"/>
        </w:rPr>
      </w:pPr>
    </w:p>
    <w:tbl>
      <w:tblPr>
        <w:tblStyle w:val="TableGrid"/>
        <w:tblW w:w="12492" w:type="dxa"/>
        <w:tblInd w:w="108" w:type="dxa"/>
        <w:tblLook w:val="04A0" w:firstRow="1" w:lastRow="0" w:firstColumn="1" w:lastColumn="0" w:noHBand="0" w:noVBand="1"/>
      </w:tblPr>
      <w:tblGrid>
        <w:gridCol w:w="5562"/>
        <w:gridCol w:w="6930"/>
      </w:tblGrid>
      <w:tr w:rsidR="00D44D11" w:rsidRPr="00D44D11" w:rsidTr="00827A4D">
        <w:trPr>
          <w:trHeight w:val="3087"/>
        </w:trPr>
        <w:tc>
          <w:tcPr>
            <w:tcW w:w="5562" w:type="dxa"/>
            <w:tcBorders>
              <w:top w:val="nil"/>
              <w:left w:val="nil"/>
              <w:bottom w:val="nil"/>
              <w:right w:val="doubleWave" w:sz="6" w:space="0" w:color="000000"/>
            </w:tcBorders>
          </w:tcPr>
          <w:p w:rsidR="00D44D11" w:rsidRPr="00D44D11" w:rsidRDefault="00D44D11" w:rsidP="00D44D11">
            <w:pPr>
              <w:rPr>
                <w:rFonts w:eastAsia="Times New Roman"/>
                <w:b/>
                <w:noProof/>
                <w:color w:val="000000"/>
              </w:rPr>
            </w:pPr>
            <w:r w:rsidRPr="00D44D11">
              <w:rPr>
                <w:b/>
                <w:noProof/>
                <w:color w:val="000000"/>
              </w:rPr>
              <w:t>James E. Mitchell, Ph. D.</w:t>
            </w:r>
            <w:r w:rsidRPr="00D44D11">
              <w:rPr>
                <w:b/>
                <w:noProof/>
                <w:color w:val="000000"/>
              </w:rPr>
              <w:br/>
            </w:r>
          </w:p>
          <w:p w:rsidR="00D44D11" w:rsidRPr="00D44D11" w:rsidRDefault="00D44D11" w:rsidP="00D44D11">
            <w:pPr>
              <w:rPr>
                <w:b/>
                <w:noProof/>
                <w:color w:val="000000"/>
              </w:rPr>
            </w:pPr>
            <w:r w:rsidRPr="00D44D11">
              <w:rPr>
                <w:b/>
                <w:noProof/>
                <w:color w:val="000000"/>
              </w:rPr>
              <w:t>State of Louisiana</w:t>
            </w:r>
          </w:p>
          <w:p w:rsidR="00D44D11" w:rsidRPr="00D44D11" w:rsidRDefault="00D44D11" w:rsidP="00D44D11">
            <w:pPr>
              <w:rPr>
                <w:b/>
                <w:noProof/>
                <w:color w:val="000000"/>
              </w:rPr>
            </w:pPr>
            <w:r w:rsidRPr="00D44D11">
              <w:rPr>
                <w:b/>
                <w:noProof/>
                <w:color w:val="000000"/>
              </w:rPr>
              <w:t>Office of Technology Services</w:t>
            </w:r>
          </w:p>
          <w:p w:rsidR="00D44D11" w:rsidRPr="00D44D11" w:rsidRDefault="00D44D11" w:rsidP="00D44D11">
            <w:pPr>
              <w:rPr>
                <w:rFonts w:eastAsia="Times New Roman"/>
                <w:b/>
                <w:noProof/>
                <w:color w:val="000000"/>
                <w:sz w:val="10"/>
                <w:szCs w:val="10"/>
              </w:rPr>
            </w:pPr>
          </w:p>
          <w:p w:rsidR="00D44D11" w:rsidRPr="00D44D11" w:rsidRDefault="00D44D11" w:rsidP="00D44D11">
            <w:pPr>
              <w:rPr>
                <w:rFonts w:ascii="Calibri" w:hAnsi="Calibri" w:cs="Times New Roman"/>
                <w:noProof/>
              </w:rPr>
            </w:pPr>
            <w:r w:rsidRPr="00D44D11">
              <w:rPr>
                <w:b/>
                <w:noProof/>
                <w:color w:val="000000"/>
              </w:rPr>
              <w:t>Louisiana Dept. of Transportation &amp; Development</w:t>
            </w:r>
            <w:r w:rsidRPr="00D44D11">
              <w:rPr>
                <w:b/>
                <w:noProof/>
                <w:color w:val="000000"/>
              </w:rPr>
              <w:br/>
              <w:t>Computer Center</w:t>
            </w:r>
            <w:bookmarkStart w:id="0" w:name="_GoBack"/>
            <w:bookmarkEnd w:id="0"/>
            <w:r w:rsidRPr="00D44D11">
              <w:rPr>
                <w:b/>
                <w:noProof/>
                <w:color w:val="000000"/>
              </w:rPr>
              <w:br/>
              <w:t>1201 Capitol Access Rd</w:t>
            </w:r>
            <w:r w:rsidRPr="00D44D11">
              <w:rPr>
                <w:b/>
                <w:noProof/>
                <w:color w:val="000000"/>
              </w:rPr>
              <w:br/>
              <w:t>Baton Rouge, LA 70802-4438</w:t>
            </w:r>
          </w:p>
        </w:tc>
        <w:tc>
          <w:tcPr>
            <w:tcW w:w="6930" w:type="dxa"/>
            <w:tcBorders>
              <w:top w:val="nil"/>
              <w:left w:val="doubleWave" w:sz="6" w:space="0" w:color="000000"/>
              <w:bottom w:val="nil"/>
              <w:right w:val="nil"/>
            </w:tcBorders>
            <w:hideMark/>
          </w:tcPr>
          <w:p w:rsidR="00D44D11" w:rsidRPr="00D44D11" w:rsidRDefault="00D44D11" w:rsidP="00D44D11">
            <w:pPr>
              <w:rPr>
                <w:b/>
                <w:noProof/>
                <w:color w:val="000000"/>
              </w:rPr>
            </w:pPr>
            <w:r w:rsidRPr="00D44D11">
              <w:rPr>
                <w:b/>
                <w:noProof/>
                <w:color w:val="000000"/>
              </w:rPr>
              <w:t>Voice: 225/379-1881</w:t>
            </w:r>
            <w:r w:rsidRPr="00D44D11">
              <w:rPr>
                <w:b/>
                <w:noProof/>
                <w:color w:val="000000"/>
              </w:rPr>
              <w:br/>
              <w:t>FAX:  225/379-1850</w:t>
            </w:r>
          </w:p>
          <w:p w:rsidR="00D44D11" w:rsidRPr="00D44D11" w:rsidRDefault="00D44D11" w:rsidP="00D44D11">
            <w:pPr>
              <w:rPr>
                <w:b/>
                <w:noProof/>
                <w:color w:val="000000"/>
                <w:sz w:val="20"/>
                <w:szCs w:val="20"/>
              </w:rPr>
            </w:pPr>
            <w:r w:rsidRPr="00D44D11">
              <w:rPr>
                <w:b/>
                <w:noProof/>
                <w:color w:val="000000"/>
              </w:rPr>
              <w:br/>
              <w:t xml:space="preserve">Email: </w:t>
            </w:r>
            <w:hyperlink r:id="rId12" w:history="1">
              <w:r w:rsidRPr="00D44D11">
                <w:rPr>
                  <w:b/>
                  <w:noProof/>
                  <w:color w:val="0000FA"/>
                  <w:u w:val="single"/>
                </w:rPr>
                <w:t>Jim.Mitchell@la.gov</w:t>
              </w:r>
            </w:hyperlink>
            <w:r w:rsidRPr="00D44D11">
              <w:rPr>
                <w:b/>
                <w:noProof/>
                <w:color w:val="000000"/>
              </w:rPr>
              <w:br/>
              <w:t>WWW:</w:t>
            </w:r>
            <w:r w:rsidRPr="00D44D11">
              <w:rPr>
                <w:b/>
                <w:noProof/>
                <w:color w:val="000000"/>
                <w:sz w:val="20"/>
                <w:szCs w:val="20"/>
              </w:rPr>
              <w:t xml:space="preserve"> </w:t>
            </w:r>
            <w:hyperlink r:id="rId13" w:tgtFrame="_blank" w:tooltip="Official DOTD Website" w:history="1">
              <w:r w:rsidRPr="00D44D11">
                <w:rPr>
                  <w:b/>
                  <w:noProof/>
                  <w:color w:val="0000FA"/>
                  <w:u w:val="single"/>
                </w:rPr>
                <w:t>http://www.dotd.la.gov</w:t>
              </w:r>
            </w:hyperlink>
          </w:p>
          <w:p w:rsidR="00D44D11" w:rsidRPr="00D44D11" w:rsidRDefault="00D44D11" w:rsidP="00D44D11">
            <w:pPr>
              <w:rPr>
                <w:b/>
                <w:noProof/>
                <w:color w:val="0000FA"/>
                <w:u w:val="single"/>
              </w:rPr>
            </w:pPr>
            <w:r w:rsidRPr="00D44D11">
              <w:rPr>
                <w:b/>
                <w:noProof/>
                <w:color w:val="000000"/>
              </w:rPr>
              <w:t xml:space="preserve">           </w:t>
            </w:r>
            <w:hyperlink r:id="rId14" w:tooltip="GIS Website at DOTD" w:history="1">
              <w:r w:rsidRPr="00D44D11">
                <w:rPr>
                  <w:b/>
                  <w:noProof/>
                  <w:color w:val="0000FA"/>
                  <w:u w:val="single"/>
                </w:rPr>
                <w:t>http://gis.dotd.la.gov</w:t>
              </w:r>
            </w:hyperlink>
          </w:p>
          <w:p w:rsidR="00D44D11" w:rsidRPr="00D44D11" w:rsidRDefault="00D44D11" w:rsidP="00D44D11">
            <w:pPr>
              <w:rPr>
                <w:b/>
                <w:noProof/>
                <w:color w:val="0000FA"/>
                <w:u w:val="single"/>
              </w:rPr>
            </w:pPr>
            <w:r w:rsidRPr="00D44D11">
              <w:rPr>
                <w:b/>
                <w:noProof/>
                <w:color w:val="000000"/>
              </w:rPr>
              <w:t xml:space="preserve">           </w:t>
            </w:r>
            <w:hyperlink r:id="rId15" w:history="1">
              <w:r w:rsidRPr="00D44D11">
                <w:rPr>
                  <w:b/>
                  <w:noProof/>
                  <w:color w:val="0563C1"/>
                  <w:u w:val="single"/>
                </w:rPr>
                <w:t>http://LADOTD.maps.arcgis.com</w:t>
              </w:r>
            </w:hyperlink>
          </w:p>
        </w:tc>
      </w:tr>
    </w:tbl>
    <w:p w:rsidR="006F5A70" w:rsidRDefault="00827A4D" w:rsidP="00D44D11">
      <w:r>
        <w:rPr>
          <w:noProof/>
        </w:rPr>
        <w:drawing>
          <wp:anchor distT="0" distB="0" distL="114300" distR="114300" simplePos="0" relativeHeight="251659264" behindDoc="0" locked="0" layoutInCell="1" allowOverlap="1" wp14:anchorId="3FD8E499" wp14:editId="251A0657">
            <wp:simplePos x="0" y="0"/>
            <wp:positionH relativeFrom="column">
              <wp:posOffset>0</wp:posOffset>
            </wp:positionH>
            <wp:positionV relativeFrom="paragraph">
              <wp:posOffset>175895</wp:posOffset>
            </wp:positionV>
            <wp:extent cx="2571750" cy="1571625"/>
            <wp:effectExtent l="0" t="0" r="0" b="9525"/>
            <wp:wrapTopAndBottom/>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571625"/>
                    </a:xfrm>
                    <a:prstGeom prst="rect">
                      <a:avLst/>
                    </a:prstGeom>
                    <a:noFill/>
                    <a:ln>
                      <a:noFill/>
                    </a:ln>
                  </pic:spPr>
                </pic:pic>
              </a:graphicData>
            </a:graphic>
          </wp:anchor>
        </w:drawing>
      </w:r>
    </w:p>
    <w:sectPr w:rsidR="006F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643CB"/>
    <w:multiLevelType w:val="hybridMultilevel"/>
    <w:tmpl w:val="2774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70"/>
    <w:rsid w:val="00143B0C"/>
    <w:rsid w:val="002C1736"/>
    <w:rsid w:val="004056E3"/>
    <w:rsid w:val="005C2A82"/>
    <w:rsid w:val="006F5A70"/>
    <w:rsid w:val="00811CD7"/>
    <w:rsid w:val="00827A4D"/>
    <w:rsid w:val="00D44D11"/>
    <w:rsid w:val="00D51A18"/>
    <w:rsid w:val="00E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5FA1-6887-4C34-B688-24A93AD5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70"/>
    <w:pPr>
      <w:spacing w:after="0" w:line="240" w:lineRule="auto"/>
    </w:pPr>
    <w:rPr>
      <w:rFonts w:ascii="Arial" w:eastAsia="Calibri" w:hAnsi="Arial" w:cs="Arial"/>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A70"/>
    <w:rPr>
      <w:color w:val="0000FF"/>
      <w:u w:val="single"/>
    </w:rPr>
  </w:style>
  <w:style w:type="table" w:styleId="TableGrid">
    <w:name w:val="Table Grid"/>
    <w:basedOn w:val="TableNormal"/>
    <w:uiPriority w:val="39"/>
    <w:rsid w:val="00D44D11"/>
    <w:pPr>
      <w:spacing w:after="0" w:line="240" w:lineRule="auto"/>
    </w:pPr>
    <w:rPr>
      <w:rFonts w:ascii="Calibri" w:eastAsia="Times New Roman"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7390">
      <w:bodyDiv w:val="1"/>
      <w:marLeft w:val="0"/>
      <w:marRight w:val="0"/>
      <w:marTop w:val="0"/>
      <w:marBottom w:val="0"/>
      <w:divBdr>
        <w:top w:val="none" w:sz="0" w:space="0" w:color="auto"/>
        <w:left w:val="none" w:sz="0" w:space="0" w:color="auto"/>
        <w:bottom w:val="none" w:sz="0" w:space="0" w:color="auto"/>
        <w:right w:val="none" w:sz="0" w:space="0" w:color="auto"/>
      </w:divBdr>
    </w:div>
    <w:div w:id="1333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cid:image003.png@01D3440E.F8357440" TargetMode="External"/><Relationship Id="rId13" Type="http://schemas.openxmlformats.org/officeDocument/2006/relationships/hyperlink" Target="http://www.dotd.l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Jim.Mitchell@l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2.png@01D34409.E0027C10" TargetMode="External"/><Relationship Id="rId11" Type="http://schemas.openxmlformats.org/officeDocument/2006/relationships/hyperlink" Target="mailto:jim.mitchell@la.gov" TargetMode="External"/><Relationship Id="rId5" Type="http://schemas.openxmlformats.org/officeDocument/2006/relationships/image" Target="media/image1.png"/><Relationship Id="rId15" Type="http://schemas.openxmlformats.org/officeDocument/2006/relationships/hyperlink" Target="http://ladotd.maps.arcgis.com/" TargetMode="External"/><Relationship Id="rId10" Type="http://schemas.openxmlformats.org/officeDocument/2006/relationships/image" Target="cid:image004.png@01D34412.927C0DE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gis.dotd.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Mitchell, Ph. D.</dc:creator>
  <cp:keywords/>
  <dc:description/>
  <cp:lastModifiedBy>James E. Mitchell, Ph. D.</cp:lastModifiedBy>
  <cp:revision>2</cp:revision>
  <dcterms:created xsi:type="dcterms:W3CDTF">2017-10-17T17:34:00Z</dcterms:created>
  <dcterms:modified xsi:type="dcterms:W3CDTF">2017-10-17T19:46:00Z</dcterms:modified>
</cp:coreProperties>
</file>